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4359"/>
        <w:gridCol w:w="3827"/>
        <w:gridCol w:w="3563"/>
        <w:gridCol w:w="1789"/>
      </w:tblGrid>
      <w:tr w:rsidR="00474D8A" w:rsidRPr="00F94167" w14:paraId="4736FEE9" w14:textId="77777777" w:rsidTr="001820CB">
        <w:tc>
          <w:tcPr>
            <w:tcW w:w="0" w:type="auto"/>
            <w:gridSpan w:val="5"/>
          </w:tcPr>
          <w:p w14:paraId="6423A9D3" w14:textId="77777777" w:rsidR="00474D8A" w:rsidRPr="00F94167" w:rsidRDefault="00474D8A" w:rsidP="001820CB">
            <w:pPr>
              <w:jc w:val="center"/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2021 YILINA AİT YAYINLAR</w:t>
            </w:r>
          </w:p>
        </w:tc>
      </w:tr>
      <w:tr w:rsidR="00474D8A" w:rsidRPr="00F94167" w14:paraId="4D17B97F" w14:textId="77777777" w:rsidTr="001820CB">
        <w:tc>
          <w:tcPr>
            <w:tcW w:w="8642" w:type="dxa"/>
            <w:gridSpan w:val="3"/>
          </w:tcPr>
          <w:p w14:paraId="23DE02C5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ULUSLARARASI YAYINLAR</w:t>
            </w:r>
          </w:p>
        </w:tc>
        <w:tc>
          <w:tcPr>
            <w:tcW w:w="5352" w:type="dxa"/>
            <w:gridSpan w:val="2"/>
          </w:tcPr>
          <w:p w14:paraId="171CF60B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ULUSAL YAYINLAR</w:t>
            </w:r>
          </w:p>
        </w:tc>
      </w:tr>
      <w:tr w:rsidR="00474D8A" w:rsidRPr="00F94167" w14:paraId="3714BA80" w14:textId="77777777" w:rsidTr="001820CB">
        <w:tc>
          <w:tcPr>
            <w:tcW w:w="4815" w:type="dxa"/>
            <w:gridSpan w:val="2"/>
          </w:tcPr>
          <w:p w14:paraId="22340B24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3827" w:type="dxa"/>
          </w:tcPr>
          <w:p w14:paraId="419C1AED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  <w:tc>
          <w:tcPr>
            <w:tcW w:w="3563" w:type="dxa"/>
          </w:tcPr>
          <w:p w14:paraId="1CC1CE71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MAKALE</w:t>
            </w:r>
          </w:p>
        </w:tc>
        <w:tc>
          <w:tcPr>
            <w:tcW w:w="1789" w:type="dxa"/>
          </w:tcPr>
          <w:p w14:paraId="52197E72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BİLDİRİ</w:t>
            </w:r>
          </w:p>
        </w:tc>
      </w:tr>
      <w:tr w:rsidR="00474D8A" w:rsidRPr="00F94167" w14:paraId="1A4BC06E" w14:textId="77777777" w:rsidTr="001820CB">
        <w:tc>
          <w:tcPr>
            <w:tcW w:w="456" w:type="dxa"/>
          </w:tcPr>
          <w:p w14:paraId="3143873C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1</w:t>
            </w:r>
          </w:p>
        </w:tc>
        <w:tc>
          <w:tcPr>
            <w:tcW w:w="4359" w:type="dxa"/>
          </w:tcPr>
          <w:p w14:paraId="06A7CE42" w14:textId="77777777" w:rsidR="00474D8A" w:rsidRPr="00F94167" w:rsidRDefault="00474D8A" w:rsidP="001820CB">
            <w:pPr>
              <w:ind w:left="-4" w:right="-71"/>
              <w:rPr>
                <w:szCs w:val="24"/>
                <w:shd w:val="clear" w:color="auto" w:fill="FFFFFF"/>
              </w:rPr>
            </w:pP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Aygün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B.,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Alaylar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B.,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Akıncıoğlu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Alım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B.,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Kocaman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E. T.,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Karadayı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M., ... &amp;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Karabulut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A. (2021). Determination of radioprotective and genotoxic properties of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sulfamide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derivatives. 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Radiochimica</w:t>
            </w:r>
            <w:proofErr w:type="spellEnd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 xml:space="preserve"> Acta</w:t>
            </w:r>
            <w:r w:rsidRPr="00F94167">
              <w:rPr>
                <w:color w:val="222222"/>
                <w:szCs w:val="24"/>
                <w:shd w:val="clear" w:color="auto" w:fill="FFFFFF"/>
              </w:rPr>
              <w:t>,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109</w:t>
            </w:r>
            <w:r w:rsidRPr="00F94167">
              <w:rPr>
                <w:color w:val="222222"/>
                <w:szCs w:val="24"/>
                <w:shd w:val="clear" w:color="auto" w:fill="FFFFFF"/>
              </w:rPr>
              <w:t>(12), 891-904.</w:t>
            </w:r>
          </w:p>
        </w:tc>
        <w:tc>
          <w:tcPr>
            <w:tcW w:w="3827" w:type="dxa"/>
          </w:tcPr>
          <w:p w14:paraId="6EA07C10" w14:textId="77777777" w:rsidR="00474D8A" w:rsidRPr="00F94167" w:rsidRDefault="00474D8A" w:rsidP="001820CB">
            <w:pPr>
              <w:jc w:val="both"/>
              <w:rPr>
                <w:rFonts w:eastAsia="Calibri"/>
                <w:szCs w:val="24"/>
              </w:rPr>
            </w:pPr>
            <w:r w:rsidRPr="00F94167">
              <w:rPr>
                <w:rFonts w:eastAsia="Calibri"/>
                <w:szCs w:val="24"/>
              </w:rPr>
              <w:t xml:space="preserve">Determination of Enzyme Inhibition and Antibacterial Effect of Resin Obtained from </w:t>
            </w:r>
            <w:r w:rsidRPr="00F94167">
              <w:rPr>
                <w:rFonts w:eastAsia="Calibri"/>
                <w:i/>
                <w:iCs/>
                <w:szCs w:val="24"/>
              </w:rPr>
              <w:t xml:space="preserve">Pistacia </w:t>
            </w:r>
            <w:proofErr w:type="spellStart"/>
            <w:r w:rsidRPr="00F94167">
              <w:rPr>
                <w:rFonts w:eastAsia="Calibri"/>
                <w:i/>
                <w:iCs/>
                <w:szCs w:val="24"/>
              </w:rPr>
              <w:t>terebinthus</w:t>
            </w:r>
            <w:proofErr w:type="spellEnd"/>
            <w:r w:rsidRPr="00F94167">
              <w:rPr>
                <w:rFonts w:eastAsia="Calibri"/>
                <w:i/>
                <w:iCs/>
                <w:szCs w:val="24"/>
              </w:rPr>
              <w:t>,</w:t>
            </w:r>
          </w:p>
          <w:p w14:paraId="1DC45399" w14:textId="77777777" w:rsidR="00474D8A" w:rsidRPr="00F94167" w:rsidRDefault="00474D8A" w:rsidP="001820CB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</w:rPr>
              <w:t>Rüya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</w:rPr>
              <w:t>Sağlamtaş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, Abdullah </w:t>
            </w:r>
            <w:proofErr w:type="spellStart"/>
            <w:r w:rsidRPr="00F94167">
              <w:rPr>
                <w:rFonts w:eastAsia="Calibri"/>
                <w:szCs w:val="24"/>
              </w:rPr>
              <w:t>Demirci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</w:rPr>
              <w:t>İlhami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</w:rPr>
              <w:t>Gülçin</w:t>
            </w:r>
            <w:proofErr w:type="spellEnd"/>
            <w:r w:rsidRPr="00F94167">
              <w:rPr>
                <w:rFonts w:eastAsia="Calibri"/>
                <w:szCs w:val="24"/>
              </w:rPr>
              <w:t>,</w:t>
            </w:r>
          </w:p>
          <w:p w14:paraId="0FC7C9B6" w14:textId="77777777" w:rsidR="00474D8A" w:rsidRPr="00F94167" w:rsidRDefault="00474D8A" w:rsidP="001820CB">
            <w:pPr>
              <w:rPr>
                <w:szCs w:val="24"/>
              </w:rPr>
            </w:pPr>
            <w:r w:rsidRPr="00F94167">
              <w:rPr>
                <w:rFonts w:eastAsia="Calibri"/>
                <w:i/>
                <w:iCs/>
                <w:szCs w:val="24"/>
              </w:rPr>
              <w:t>Eurasia Biochemical Approaches &amp; Technologies Congress (3. EBAT)</w:t>
            </w:r>
          </w:p>
        </w:tc>
        <w:tc>
          <w:tcPr>
            <w:tcW w:w="3563" w:type="dxa"/>
          </w:tcPr>
          <w:p w14:paraId="7E91F646" w14:textId="77777777" w:rsidR="00474D8A" w:rsidRPr="00F94167" w:rsidRDefault="00474D8A" w:rsidP="001820CB">
            <w:pPr>
              <w:rPr>
                <w:szCs w:val="24"/>
              </w:rPr>
            </w:pPr>
            <w:r w:rsidRPr="00F94167">
              <w:rPr>
                <w:szCs w:val="24"/>
                <w:lang w:val="tr-TR"/>
              </w:rPr>
              <w:t xml:space="preserve">S. Karaca, K. V. </w:t>
            </w:r>
            <w:proofErr w:type="spellStart"/>
            <w:proofErr w:type="gramStart"/>
            <w:r w:rsidRPr="00F94167">
              <w:rPr>
                <w:szCs w:val="24"/>
                <w:lang w:val="tr-TR"/>
              </w:rPr>
              <w:t>Özdokur</w:t>
            </w:r>
            <w:proofErr w:type="spellEnd"/>
            <w:r w:rsidRPr="00F94167">
              <w:rPr>
                <w:szCs w:val="24"/>
                <w:lang w:val="tr-TR"/>
              </w:rPr>
              <w:t>,  E.</w:t>
            </w:r>
            <w:proofErr w:type="gram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Egil</w:t>
            </w:r>
            <w:proofErr w:type="spellEnd"/>
            <w:r w:rsidRPr="00F94167">
              <w:rPr>
                <w:szCs w:val="24"/>
                <w:lang w:val="tr-TR"/>
              </w:rPr>
              <w:t xml:space="preserve">,  C. Duman  E. </w:t>
            </w:r>
            <w:proofErr w:type="spellStart"/>
            <w:r w:rsidRPr="00F94167">
              <w:rPr>
                <w:szCs w:val="24"/>
                <w:lang w:val="tr-TR"/>
              </w:rPr>
              <w:t>Ceyran</w:t>
            </w:r>
            <w:proofErr w:type="spellEnd"/>
            <w:r w:rsidRPr="00F94167">
              <w:rPr>
                <w:szCs w:val="24"/>
                <w:lang w:val="tr-TR"/>
              </w:rPr>
              <w:t xml:space="preserve">, Evaluation Of BIS-GMA </w:t>
            </w:r>
            <w:proofErr w:type="spellStart"/>
            <w:r w:rsidRPr="00F94167">
              <w:rPr>
                <w:szCs w:val="24"/>
                <w:lang w:val="tr-TR"/>
              </w:rPr>
              <w:t>Release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In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Different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Types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Composites</w:t>
            </w:r>
            <w:proofErr w:type="spellEnd"/>
            <w:r w:rsidRPr="00F94167">
              <w:rPr>
                <w:szCs w:val="24"/>
                <w:lang w:val="tr-TR"/>
              </w:rPr>
              <w:t xml:space="preserve">. </w:t>
            </w:r>
            <w:r w:rsidRPr="00F94167">
              <w:rPr>
                <w:szCs w:val="24"/>
              </w:rPr>
              <w:t>2021, 14, 1, 299 - 305, 31.03.2021</w:t>
            </w:r>
          </w:p>
        </w:tc>
        <w:tc>
          <w:tcPr>
            <w:tcW w:w="1789" w:type="dxa"/>
          </w:tcPr>
          <w:p w14:paraId="40A1CD3F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0C513E9E" w14:textId="77777777" w:rsidTr="001820CB">
        <w:tc>
          <w:tcPr>
            <w:tcW w:w="456" w:type="dxa"/>
          </w:tcPr>
          <w:p w14:paraId="67220DEE" w14:textId="77777777" w:rsidR="00474D8A" w:rsidRPr="00F94167" w:rsidRDefault="00474D8A" w:rsidP="001820CB">
            <w:pPr>
              <w:rPr>
                <w:b/>
                <w:bCs/>
                <w:szCs w:val="24"/>
                <w:shd w:val="clear" w:color="auto" w:fill="FFFFFF"/>
              </w:rPr>
            </w:pPr>
            <w:r w:rsidRPr="00F94167">
              <w:rPr>
                <w:b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4359" w:type="dxa"/>
          </w:tcPr>
          <w:p w14:paraId="207D58BA" w14:textId="77777777" w:rsidR="00474D8A" w:rsidRPr="00F94167" w:rsidRDefault="00474D8A" w:rsidP="001820CB">
            <w:pPr>
              <w:rPr>
                <w:szCs w:val="24"/>
                <w:shd w:val="clear" w:color="auto" w:fill="FFFFFF"/>
              </w:rPr>
            </w:pP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Akıncıoğlu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Göksu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S.,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Naderi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Akıncıoğlu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H.,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Kılınç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N., &amp;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Gülçin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İ. (2021).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Cholinesterases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, carbonic anhydrase inhibitory properties and in silico studies of novel substituted benzylamines derived from dihydrochalcones.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Computational Biology and Chemistry</w:t>
            </w:r>
            <w:r w:rsidRPr="00F94167">
              <w:rPr>
                <w:color w:val="222222"/>
                <w:szCs w:val="24"/>
                <w:shd w:val="clear" w:color="auto" w:fill="FFFFFF"/>
              </w:rPr>
              <w:t>,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94</w:t>
            </w:r>
            <w:r w:rsidRPr="00F94167">
              <w:rPr>
                <w:color w:val="222222"/>
                <w:szCs w:val="24"/>
                <w:shd w:val="clear" w:color="auto" w:fill="FFFFFF"/>
              </w:rPr>
              <w:t>, 107565.</w:t>
            </w:r>
          </w:p>
        </w:tc>
        <w:tc>
          <w:tcPr>
            <w:tcW w:w="3827" w:type="dxa"/>
          </w:tcPr>
          <w:p w14:paraId="03C19551" w14:textId="77777777" w:rsidR="00474D8A" w:rsidRPr="00F94167" w:rsidRDefault="00474D8A" w:rsidP="001820CB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</w:rPr>
              <w:t>Aydın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T., </w:t>
            </w:r>
            <w:proofErr w:type="spellStart"/>
            <w:r w:rsidRPr="00F94167">
              <w:rPr>
                <w:rFonts w:eastAsia="Calibri"/>
                <w:szCs w:val="24"/>
              </w:rPr>
              <w:t>Sağlamtaş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R. (2021, July). Inhibition Effects of </w:t>
            </w:r>
            <w:proofErr w:type="spellStart"/>
            <w:r w:rsidRPr="00F94167">
              <w:rPr>
                <w:rFonts w:eastAsia="Calibri"/>
                <w:szCs w:val="24"/>
              </w:rPr>
              <w:t>Polygonatum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</w:t>
            </w:r>
            <w:proofErr w:type="spellStart"/>
            <w:r w:rsidRPr="00F94167">
              <w:rPr>
                <w:rFonts w:eastAsia="Calibri"/>
                <w:szCs w:val="24"/>
              </w:rPr>
              <w:t>Multiflorum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(Solomon's Seal) Roots on Some Enzymes. International Conference on Advances </w:t>
            </w:r>
            <w:proofErr w:type="spellStart"/>
            <w:r w:rsidRPr="00F94167">
              <w:rPr>
                <w:rFonts w:eastAsia="Calibri"/>
                <w:szCs w:val="24"/>
              </w:rPr>
              <w:t>ın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Natural &amp; Applied Science. </w:t>
            </w:r>
            <w:proofErr w:type="spellStart"/>
            <w:r w:rsidRPr="00F94167">
              <w:rPr>
                <w:rFonts w:eastAsia="Calibri"/>
                <w:szCs w:val="24"/>
              </w:rPr>
              <w:t>Ağrı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, </w:t>
            </w:r>
            <w:proofErr w:type="spellStart"/>
            <w:r w:rsidRPr="00F94167">
              <w:rPr>
                <w:rFonts w:eastAsia="Calibri"/>
                <w:szCs w:val="24"/>
              </w:rPr>
              <w:t>Turkey.p</w:t>
            </w:r>
            <w:proofErr w:type="spellEnd"/>
            <w:r w:rsidRPr="00F94167">
              <w:rPr>
                <w:rFonts w:eastAsia="Calibri"/>
                <w:szCs w:val="24"/>
              </w:rPr>
              <w:t>(77-78)</w:t>
            </w:r>
          </w:p>
        </w:tc>
        <w:tc>
          <w:tcPr>
            <w:tcW w:w="3563" w:type="dxa"/>
          </w:tcPr>
          <w:p w14:paraId="3489EB51" w14:textId="77777777" w:rsidR="00474D8A" w:rsidRPr="00F94167" w:rsidRDefault="00474D8A" w:rsidP="001820CB">
            <w:pPr>
              <w:ind w:left="-4911" w:right="-1163" w:firstLine="4819"/>
              <w:rPr>
                <w:szCs w:val="24"/>
              </w:rPr>
            </w:pPr>
          </w:p>
        </w:tc>
        <w:tc>
          <w:tcPr>
            <w:tcW w:w="1789" w:type="dxa"/>
          </w:tcPr>
          <w:p w14:paraId="2A154051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0D55A68B" w14:textId="77777777" w:rsidTr="001820CB">
        <w:tc>
          <w:tcPr>
            <w:tcW w:w="456" w:type="dxa"/>
          </w:tcPr>
          <w:p w14:paraId="23DBE90D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3</w:t>
            </w:r>
          </w:p>
        </w:tc>
        <w:tc>
          <w:tcPr>
            <w:tcW w:w="4359" w:type="dxa"/>
          </w:tcPr>
          <w:p w14:paraId="46884D4C" w14:textId="77777777" w:rsidR="00474D8A" w:rsidRPr="00F94167" w:rsidRDefault="00474D8A" w:rsidP="001820CB">
            <w:pPr>
              <w:rPr>
                <w:szCs w:val="24"/>
              </w:rPr>
            </w:pP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Gök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Akıncıoğlu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Erümit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Binici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E.,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Akıncıoğlu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H.,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Kılınç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N., &amp;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Göksu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S. (2021). Synthesis of novel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sulfonamides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 with anti‐Alzheimer and antioxidant capacities. 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Archiv</w:t>
            </w:r>
            <w:proofErr w:type="spellEnd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Pharmazie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, e2000496.</w:t>
            </w:r>
          </w:p>
        </w:tc>
        <w:tc>
          <w:tcPr>
            <w:tcW w:w="3827" w:type="dxa"/>
          </w:tcPr>
          <w:p w14:paraId="760A3193" w14:textId="77777777" w:rsidR="00474D8A" w:rsidRPr="00F94167" w:rsidRDefault="00474D8A" w:rsidP="001820CB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</w:rPr>
              <w:t>Aydın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T., Kaya R., </w:t>
            </w:r>
            <w:proofErr w:type="spellStart"/>
            <w:r w:rsidRPr="00F94167">
              <w:rPr>
                <w:rFonts w:eastAsia="Calibri"/>
                <w:szCs w:val="24"/>
              </w:rPr>
              <w:t>Gümüştaş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M., </w:t>
            </w:r>
            <w:proofErr w:type="spellStart"/>
            <w:r w:rsidRPr="00F94167">
              <w:rPr>
                <w:rFonts w:eastAsia="Calibri"/>
                <w:szCs w:val="24"/>
              </w:rPr>
              <w:t>Genişel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M., </w:t>
            </w:r>
            <w:proofErr w:type="spellStart"/>
            <w:r w:rsidRPr="00F94167">
              <w:rPr>
                <w:rFonts w:eastAsia="Calibri"/>
                <w:szCs w:val="24"/>
              </w:rPr>
              <w:t>Kazaz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C., </w:t>
            </w:r>
            <w:proofErr w:type="spellStart"/>
            <w:r w:rsidRPr="00F94167">
              <w:rPr>
                <w:rFonts w:eastAsia="Calibri"/>
                <w:szCs w:val="24"/>
              </w:rPr>
              <w:t>Çakir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A. Determination of In Vitro Inhibition Effects of Lavandula </w:t>
            </w:r>
            <w:proofErr w:type="spellStart"/>
            <w:r w:rsidRPr="00F94167">
              <w:rPr>
                <w:rFonts w:eastAsia="Calibri"/>
                <w:szCs w:val="24"/>
              </w:rPr>
              <w:t>Stoechas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on Some Enzymes. International Scientific </w:t>
            </w:r>
            <w:proofErr w:type="spellStart"/>
            <w:r w:rsidRPr="00F94167">
              <w:rPr>
                <w:rFonts w:eastAsia="Calibri"/>
                <w:szCs w:val="24"/>
              </w:rPr>
              <w:t>Symposium.Current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Trends in Natural Sciences, May 28-30, 2021. Romania. </w:t>
            </w:r>
            <w:proofErr w:type="gramStart"/>
            <w:r w:rsidRPr="00F94167">
              <w:rPr>
                <w:rFonts w:eastAsia="Calibri"/>
                <w:szCs w:val="24"/>
              </w:rPr>
              <w:t>p(</w:t>
            </w:r>
            <w:proofErr w:type="gramEnd"/>
            <w:r w:rsidRPr="00F94167">
              <w:rPr>
                <w:rFonts w:eastAsia="Calibri"/>
                <w:szCs w:val="24"/>
              </w:rPr>
              <w:t>137-138).</w:t>
            </w:r>
          </w:p>
        </w:tc>
        <w:tc>
          <w:tcPr>
            <w:tcW w:w="3563" w:type="dxa"/>
          </w:tcPr>
          <w:p w14:paraId="001CD3DC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6CF85159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14D98CC8" w14:textId="77777777" w:rsidTr="001820CB">
        <w:tc>
          <w:tcPr>
            <w:tcW w:w="456" w:type="dxa"/>
          </w:tcPr>
          <w:p w14:paraId="29E2D0E1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4</w:t>
            </w:r>
          </w:p>
        </w:tc>
        <w:tc>
          <w:tcPr>
            <w:tcW w:w="4359" w:type="dxa"/>
          </w:tcPr>
          <w:p w14:paraId="7D740BEB" w14:textId="77777777" w:rsidR="00474D8A" w:rsidRPr="00F94167" w:rsidRDefault="00474D8A" w:rsidP="001820CB">
            <w:pPr>
              <w:rPr>
                <w:szCs w:val="24"/>
              </w:rPr>
            </w:pPr>
            <w:r w:rsidRPr="00F94167">
              <w:rPr>
                <w:color w:val="222222"/>
                <w:szCs w:val="24"/>
                <w:shd w:val="clear" w:color="auto" w:fill="FFFFFF"/>
              </w:rPr>
              <w:t xml:space="preserve">Orhan, F.,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Demirci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 xml:space="preserve">, A., &amp; </w:t>
            </w:r>
            <w:proofErr w:type="spellStart"/>
            <w:r w:rsidRPr="00F94167">
              <w:rPr>
                <w:color w:val="222222"/>
                <w:szCs w:val="24"/>
                <w:shd w:val="clear" w:color="auto" w:fill="FFFFFF"/>
              </w:rPr>
              <w:t>Gormez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, A. (2021). Carbonate and silicate dissolving bacteria isolated from home-made yogurt samples.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 xml:space="preserve">Anais da Academia 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Brasileira</w:t>
            </w:r>
            <w:proofErr w:type="spellEnd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Ciências</w:t>
            </w:r>
            <w:proofErr w:type="spellEnd"/>
            <w:r w:rsidRPr="00F94167">
              <w:rPr>
                <w:color w:val="222222"/>
                <w:szCs w:val="24"/>
                <w:shd w:val="clear" w:color="auto" w:fill="FFFFFF"/>
              </w:rPr>
              <w:t>, </w:t>
            </w:r>
            <w:r w:rsidRPr="00F94167">
              <w:rPr>
                <w:i/>
                <w:iCs/>
                <w:color w:val="222222"/>
                <w:szCs w:val="24"/>
                <w:shd w:val="clear" w:color="auto" w:fill="FFFFFF"/>
              </w:rPr>
              <w:t>93</w:t>
            </w:r>
            <w:r w:rsidRPr="00F94167">
              <w:rPr>
                <w:color w:val="222222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14:paraId="67FA41CF" w14:textId="77777777" w:rsidR="00474D8A" w:rsidRPr="00F94167" w:rsidRDefault="00474D8A" w:rsidP="001820CB">
            <w:pPr>
              <w:rPr>
                <w:szCs w:val="24"/>
              </w:rPr>
            </w:pPr>
            <w:proofErr w:type="spellStart"/>
            <w:r w:rsidRPr="00F94167">
              <w:rPr>
                <w:rFonts w:eastAsia="Calibri"/>
                <w:szCs w:val="24"/>
              </w:rPr>
              <w:t>Sağlamtaş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R., </w:t>
            </w:r>
            <w:proofErr w:type="spellStart"/>
            <w:r w:rsidRPr="00F94167">
              <w:rPr>
                <w:rFonts w:eastAsia="Calibri"/>
                <w:szCs w:val="24"/>
              </w:rPr>
              <w:t>Demirci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A., </w:t>
            </w:r>
            <w:proofErr w:type="spellStart"/>
            <w:r w:rsidRPr="00F94167">
              <w:rPr>
                <w:rFonts w:eastAsia="Calibri"/>
                <w:szCs w:val="24"/>
              </w:rPr>
              <w:t>Gülçin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İ. Determination of Enzyme Inhibition and Antibacterial Effect of Resin Obtained from Pistacia </w:t>
            </w:r>
            <w:proofErr w:type="spellStart"/>
            <w:r w:rsidRPr="00F94167">
              <w:rPr>
                <w:rFonts w:eastAsia="Calibri"/>
                <w:szCs w:val="24"/>
              </w:rPr>
              <w:t>terebinthus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. Eurasia Biochemical Approaches &amp; </w:t>
            </w:r>
            <w:proofErr w:type="spellStart"/>
            <w:r w:rsidRPr="00F94167">
              <w:rPr>
                <w:rFonts w:eastAsia="Calibri"/>
                <w:szCs w:val="24"/>
              </w:rPr>
              <w:t>Technologies.Nov</w:t>
            </w:r>
            <w:proofErr w:type="spellEnd"/>
            <w:r w:rsidRPr="00F94167">
              <w:rPr>
                <w:rFonts w:eastAsia="Calibri"/>
                <w:szCs w:val="24"/>
              </w:rPr>
              <w:t xml:space="preserve"> 5-7,2021. p (94).</w:t>
            </w:r>
          </w:p>
        </w:tc>
        <w:tc>
          <w:tcPr>
            <w:tcW w:w="3563" w:type="dxa"/>
          </w:tcPr>
          <w:p w14:paraId="06BBA3C1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6785D8C3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23B647C4" w14:textId="77777777" w:rsidTr="001820CB">
        <w:tc>
          <w:tcPr>
            <w:tcW w:w="456" w:type="dxa"/>
            <w:vAlign w:val="center"/>
          </w:tcPr>
          <w:p w14:paraId="78FA8342" w14:textId="77777777" w:rsidR="00474D8A" w:rsidRPr="00F94167" w:rsidRDefault="00474D8A" w:rsidP="001820CB">
            <w:pPr>
              <w:rPr>
                <w:szCs w:val="24"/>
              </w:rPr>
            </w:pPr>
            <w:r w:rsidRPr="00F94167">
              <w:rPr>
                <w:szCs w:val="24"/>
              </w:rPr>
              <w:lastRenderedPageBreak/>
              <w:t>5</w:t>
            </w:r>
          </w:p>
        </w:tc>
        <w:tc>
          <w:tcPr>
            <w:tcW w:w="4359" w:type="dxa"/>
          </w:tcPr>
          <w:p w14:paraId="3D8A7A6E" w14:textId="77777777" w:rsidR="00474D8A" w:rsidRPr="00F94167" w:rsidRDefault="00474D8A" w:rsidP="001820CB">
            <w:pPr>
              <w:rPr>
                <w:szCs w:val="24"/>
              </w:rPr>
            </w:pPr>
            <w:proofErr w:type="spellStart"/>
            <w:r w:rsidRPr="00F94167">
              <w:rPr>
                <w:szCs w:val="24"/>
              </w:rPr>
              <w:t>Burmaoglu</w:t>
            </w:r>
            <w:proofErr w:type="spellEnd"/>
            <w:r w:rsidRPr="00F94167">
              <w:rPr>
                <w:szCs w:val="24"/>
              </w:rPr>
              <w:t xml:space="preserve">, S., Yilmaz, A. O., </w:t>
            </w:r>
            <w:proofErr w:type="spellStart"/>
            <w:r w:rsidRPr="00F94167">
              <w:rPr>
                <w:szCs w:val="24"/>
              </w:rPr>
              <w:t>Polat</w:t>
            </w:r>
            <w:proofErr w:type="spellEnd"/>
            <w:r w:rsidRPr="00F94167">
              <w:rPr>
                <w:szCs w:val="24"/>
              </w:rPr>
              <w:t xml:space="preserve">, M. F., Kaya, R., </w:t>
            </w:r>
            <w:proofErr w:type="spellStart"/>
            <w:r w:rsidRPr="00F94167">
              <w:rPr>
                <w:szCs w:val="24"/>
              </w:rPr>
              <w:t>Gulcin</w:t>
            </w:r>
            <w:proofErr w:type="spellEnd"/>
            <w:r w:rsidRPr="00F94167">
              <w:rPr>
                <w:szCs w:val="24"/>
              </w:rPr>
              <w:t xml:space="preserve">, İ., &amp; </w:t>
            </w:r>
            <w:proofErr w:type="spellStart"/>
            <w:r w:rsidRPr="00F94167">
              <w:rPr>
                <w:szCs w:val="24"/>
              </w:rPr>
              <w:t>Algul</w:t>
            </w:r>
            <w:proofErr w:type="spellEnd"/>
            <w:r w:rsidRPr="00F94167">
              <w:rPr>
                <w:szCs w:val="24"/>
              </w:rPr>
              <w:t>, O. (2021). Synthesis of novel tris-chalcones and determination of their inhibition profiles against some metabolic enzymes. Archives of physiology and biochemistry, 127(2), 153-161.</w:t>
            </w:r>
          </w:p>
        </w:tc>
        <w:tc>
          <w:tcPr>
            <w:tcW w:w="3827" w:type="dxa"/>
          </w:tcPr>
          <w:p w14:paraId="0487A6C1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6314F6F4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3652DB5D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2E86CD1E" w14:textId="77777777" w:rsidTr="001820CB">
        <w:tc>
          <w:tcPr>
            <w:tcW w:w="456" w:type="dxa"/>
          </w:tcPr>
          <w:p w14:paraId="22EC00E6" w14:textId="77777777" w:rsidR="00474D8A" w:rsidRPr="00F94167" w:rsidRDefault="00474D8A" w:rsidP="001820CB">
            <w:pPr>
              <w:rPr>
                <w:b/>
                <w:bCs/>
                <w:szCs w:val="24"/>
              </w:rPr>
            </w:pPr>
            <w:r w:rsidRPr="00F94167">
              <w:rPr>
                <w:b/>
                <w:bCs/>
                <w:szCs w:val="24"/>
              </w:rPr>
              <w:t>6</w:t>
            </w:r>
          </w:p>
        </w:tc>
        <w:tc>
          <w:tcPr>
            <w:tcW w:w="4359" w:type="dxa"/>
          </w:tcPr>
          <w:p w14:paraId="52EB3119" w14:textId="77777777" w:rsidR="00474D8A" w:rsidRPr="00F94167" w:rsidRDefault="00474D8A" w:rsidP="001820CB">
            <w:pPr>
              <w:jc w:val="both"/>
              <w:rPr>
                <w:szCs w:val="24"/>
              </w:rPr>
            </w:pPr>
            <w:r w:rsidRPr="00F94167">
              <w:rPr>
                <w:szCs w:val="24"/>
                <w:lang w:val="tr-TR"/>
              </w:rPr>
              <w:t xml:space="preserve">Kazancı, A., Gök, Y., Kaya, R., Aktaş, A., </w:t>
            </w:r>
            <w:proofErr w:type="spellStart"/>
            <w:r w:rsidRPr="00F94167">
              <w:rPr>
                <w:szCs w:val="24"/>
                <w:lang w:val="tr-TR"/>
              </w:rPr>
              <w:t>Taslimi</w:t>
            </w:r>
            <w:proofErr w:type="spellEnd"/>
            <w:r w:rsidRPr="00F94167">
              <w:rPr>
                <w:szCs w:val="24"/>
                <w:lang w:val="tr-TR"/>
              </w:rPr>
              <w:t xml:space="preserve">, P., &amp; Gülçin, İ. (2021). </w:t>
            </w:r>
            <w:proofErr w:type="spellStart"/>
            <w:r w:rsidRPr="00F94167">
              <w:rPr>
                <w:szCs w:val="24"/>
                <w:lang w:val="tr-TR"/>
              </w:rPr>
              <w:t>Synthesis</w:t>
            </w:r>
            <w:proofErr w:type="spellEnd"/>
            <w:r w:rsidRPr="00F94167">
              <w:rPr>
                <w:szCs w:val="24"/>
                <w:lang w:val="tr-TR"/>
              </w:rPr>
              <w:t xml:space="preserve">, </w:t>
            </w:r>
            <w:proofErr w:type="spellStart"/>
            <w:r w:rsidRPr="00F94167">
              <w:rPr>
                <w:szCs w:val="24"/>
                <w:lang w:val="tr-TR"/>
              </w:rPr>
              <w:t>characterization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bioactivities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dative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donor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ligand</w:t>
            </w:r>
            <w:proofErr w:type="spellEnd"/>
            <w:r w:rsidRPr="00F94167">
              <w:rPr>
                <w:szCs w:val="24"/>
                <w:lang w:val="tr-TR"/>
              </w:rPr>
              <w:t xml:space="preserve"> N-</w:t>
            </w:r>
            <w:proofErr w:type="spellStart"/>
            <w:r w:rsidRPr="00F94167">
              <w:rPr>
                <w:szCs w:val="24"/>
                <w:lang w:val="tr-TR"/>
              </w:rPr>
              <w:t>heterocyclic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carbene</w:t>
            </w:r>
            <w:proofErr w:type="spellEnd"/>
            <w:r w:rsidRPr="00F94167">
              <w:rPr>
                <w:szCs w:val="24"/>
                <w:lang w:val="tr-TR"/>
              </w:rPr>
              <w:t xml:space="preserve"> (NHC) </w:t>
            </w:r>
            <w:proofErr w:type="spellStart"/>
            <w:r w:rsidRPr="00F94167">
              <w:rPr>
                <w:szCs w:val="24"/>
                <w:lang w:val="tr-TR"/>
              </w:rPr>
              <w:t>precursors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their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Ag</w:t>
            </w:r>
            <w:proofErr w:type="spellEnd"/>
            <w:r w:rsidRPr="00F94167">
              <w:rPr>
                <w:szCs w:val="24"/>
                <w:lang w:val="tr-TR"/>
              </w:rPr>
              <w:t xml:space="preserve"> (I) NHC </w:t>
            </w:r>
            <w:proofErr w:type="spellStart"/>
            <w:r w:rsidRPr="00F94167">
              <w:rPr>
                <w:szCs w:val="24"/>
                <w:lang w:val="tr-TR"/>
              </w:rPr>
              <w:t>coordination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compounds</w:t>
            </w:r>
            <w:proofErr w:type="spellEnd"/>
            <w:r w:rsidRPr="00F94167">
              <w:rPr>
                <w:szCs w:val="24"/>
                <w:lang w:val="tr-TR"/>
              </w:rPr>
              <w:t xml:space="preserve">. </w:t>
            </w:r>
            <w:proofErr w:type="spellStart"/>
            <w:r w:rsidRPr="00F94167">
              <w:rPr>
                <w:szCs w:val="24"/>
                <w:lang w:val="tr-TR"/>
              </w:rPr>
              <w:t>Polyhedron</w:t>
            </w:r>
            <w:proofErr w:type="spellEnd"/>
            <w:r w:rsidRPr="00F94167">
              <w:rPr>
                <w:szCs w:val="24"/>
                <w:lang w:val="tr-TR"/>
              </w:rPr>
              <w:t>, 193, 114866.</w:t>
            </w:r>
          </w:p>
        </w:tc>
        <w:tc>
          <w:tcPr>
            <w:tcW w:w="3827" w:type="dxa"/>
          </w:tcPr>
          <w:p w14:paraId="23C7791B" w14:textId="77777777" w:rsidR="00474D8A" w:rsidRPr="00F94167" w:rsidRDefault="00474D8A" w:rsidP="001820CB">
            <w:pPr>
              <w:ind w:left="36"/>
              <w:rPr>
                <w:rFonts w:eastAsia="Verdana"/>
                <w:szCs w:val="24"/>
              </w:rPr>
            </w:pPr>
          </w:p>
        </w:tc>
        <w:tc>
          <w:tcPr>
            <w:tcW w:w="3563" w:type="dxa"/>
          </w:tcPr>
          <w:p w14:paraId="367DBF4D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1120B32F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44EFB29E" w14:textId="77777777" w:rsidTr="001820CB">
        <w:tc>
          <w:tcPr>
            <w:tcW w:w="456" w:type="dxa"/>
          </w:tcPr>
          <w:p w14:paraId="0477D6D6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7</w:t>
            </w:r>
          </w:p>
        </w:tc>
        <w:tc>
          <w:tcPr>
            <w:tcW w:w="4359" w:type="dxa"/>
          </w:tcPr>
          <w:p w14:paraId="0479888B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proofErr w:type="spellStart"/>
            <w:r w:rsidRPr="00F94167">
              <w:rPr>
                <w:szCs w:val="24"/>
                <w:lang w:val="tr-TR"/>
              </w:rPr>
              <w:t>Behcet</w:t>
            </w:r>
            <w:proofErr w:type="spellEnd"/>
            <w:r w:rsidRPr="00F94167">
              <w:rPr>
                <w:szCs w:val="24"/>
                <w:lang w:val="tr-TR"/>
              </w:rPr>
              <w:t xml:space="preserve">, A., Aktaş, A., Gök, Y., Kaya, R., </w:t>
            </w:r>
            <w:proofErr w:type="spellStart"/>
            <w:r w:rsidRPr="00F94167">
              <w:rPr>
                <w:szCs w:val="24"/>
                <w:lang w:val="tr-TR"/>
              </w:rPr>
              <w:t>Taslimi</w:t>
            </w:r>
            <w:proofErr w:type="spellEnd"/>
            <w:r w:rsidRPr="00F94167">
              <w:rPr>
                <w:szCs w:val="24"/>
                <w:lang w:val="tr-TR"/>
              </w:rPr>
              <w:t xml:space="preserve">, P., &amp; Gülçin, İ. (2021). </w:t>
            </w:r>
            <w:proofErr w:type="spellStart"/>
            <w:r w:rsidRPr="00F94167">
              <w:rPr>
                <w:szCs w:val="24"/>
                <w:lang w:val="tr-TR"/>
              </w:rPr>
              <w:t>Novel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silver</w:t>
            </w:r>
            <w:proofErr w:type="spellEnd"/>
            <w:r w:rsidRPr="00F94167">
              <w:rPr>
                <w:szCs w:val="24"/>
                <w:lang w:val="tr-TR"/>
              </w:rPr>
              <w:t xml:space="preserve"> (I) N‐</w:t>
            </w:r>
            <w:proofErr w:type="spellStart"/>
            <w:r w:rsidRPr="00F94167">
              <w:rPr>
                <w:szCs w:val="24"/>
                <w:lang w:val="tr-TR"/>
              </w:rPr>
              <w:t>heterocyclic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carbene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complexes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bearing</w:t>
            </w:r>
            <w:proofErr w:type="spellEnd"/>
            <w:r w:rsidRPr="00F94167">
              <w:rPr>
                <w:szCs w:val="24"/>
                <w:lang w:val="tr-TR"/>
              </w:rPr>
              <w:t xml:space="preserve"> 2‐(4‐hydroxyphenyl) </w:t>
            </w:r>
            <w:proofErr w:type="spellStart"/>
            <w:r w:rsidRPr="00F94167">
              <w:rPr>
                <w:szCs w:val="24"/>
                <w:lang w:val="tr-TR"/>
              </w:rPr>
              <w:t>ethyl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group</w:t>
            </w:r>
            <w:proofErr w:type="spellEnd"/>
            <w:r w:rsidRPr="00F94167">
              <w:rPr>
                <w:szCs w:val="24"/>
                <w:lang w:val="tr-TR"/>
              </w:rPr>
              <w:t xml:space="preserve">: </w:t>
            </w:r>
            <w:proofErr w:type="spellStart"/>
            <w:r w:rsidRPr="00F94167">
              <w:rPr>
                <w:szCs w:val="24"/>
                <w:lang w:val="tr-TR"/>
              </w:rPr>
              <w:t>Synthesis</w:t>
            </w:r>
            <w:proofErr w:type="spellEnd"/>
            <w:r w:rsidRPr="00F94167">
              <w:rPr>
                <w:szCs w:val="24"/>
                <w:lang w:val="tr-TR"/>
              </w:rPr>
              <w:t xml:space="preserve">, </w:t>
            </w:r>
            <w:proofErr w:type="spellStart"/>
            <w:r w:rsidRPr="00F94167">
              <w:rPr>
                <w:szCs w:val="24"/>
                <w:lang w:val="tr-TR"/>
              </w:rPr>
              <w:t>characterization</w:t>
            </w:r>
            <w:proofErr w:type="spellEnd"/>
            <w:r w:rsidRPr="00F94167">
              <w:rPr>
                <w:szCs w:val="24"/>
                <w:lang w:val="tr-TR"/>
              </w:rPr>
              <w:t xml:space="preserve">,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enzyme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inhibition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properties</w:t>
            </w:r>
            <w:proofErr w:type="spellEnd"/>
            <w:r w:rsidRPr="00F94167">
              <w:rPr>
                <w:szCs w:val="24"/>
                <w:lang w:val="tr-TR"/>
              </w:rPr>
              <w:t xml:space="preserve">. </w:t>
            </w:r>
            <w:proofErr w:type="spellStart"/>
            <w:r w:rsidRPr="00F94167">
              <w:rPr>
                <w:szCs w:val="24"/>
                <w:lang w:val="tr-TR"/>
              </w:rPr>
              <w:t>Journal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Heterocyclic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Chemistry</w:t>
            </w:r>
            <w:proofErr w:type="spellEnd"/>
            <w:r w:rsidRPr="00F94167">
              <w:rPr>
                <w:szCs w:val="24"/>
                <w:lang w:val="tr-TR"/>
              </w:rPr>
              <w:t>, 58(2), 603-611.</w:t>
            </w:r>
          </w:p>
        </w:tc>
        <w:tc>
          <w:tcPr>
            <w:tcW w:w="3827" w:type="dxa"/>
          </w:tcPr>
          <w:p w14:paraId="4577E3D5" w14:textId="77777777" w:rsidR="00474D8A" w:rsidRPr="00F94167" w:rsidRDefault="00474D8A" w:rsidP="001820CB">
            <w:pPr>
              <w:suppressAutoHyphens w:val="0"/>
              <w:spacing w:after="190"/>
              <w:rPr>
                <w:rFonts w:eastAsia="Verdana"/>
                <w:szCs w:val="24"/>
                <w:lang w:val="tr-TR" w:eastAsia="tr-TR"/>
              </w:rPr>
            </w:pPr>
          </w:p>
        </w:tc>
        <w:tc>
          <w:tcPr>
            <w:tcW w:w="3563" w:type="dxa"/>
          </w:tcPr>
          <w:p w14:paraId="236C4A15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0C62CA18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5A85F451" w14:textId="77777777" w:rsidTr="001820CB">
        <w:tc>
          <w:tcPr>
            <w:tcW w:w="456" w:type="dxa"/>
          </w:tcPr>
          <w:p w14:paraId="3AA41E35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8</w:t>
            </w:r>
          </w:p>
        </w:tc>
        <w:tc>
          <w:tcPr>
            <w:tcW w:w="4359" w:type="dxa"/>
          </w:tcPr>
          <w:p w14:paraId="4527A3AE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proofErr w:type="spellStart"/>
            <w:r w:rsidRPr="00F94167">
              <w:rPr>
                <w:szCs w:val="24"/>
                <w:lang w:val="tr-TR"/>
              </w:rPr>
              <w:t>Tuğrak</w:t>
            </w:r>
            <w:proofErr w:type="spellEnd"/>
            <w:r w:rsidRPr="00F94167">
              <w:rPr>
                <w:szCs w:val="24"/>
                <w:lang w:val="tr-TR"/>
              </w:rPr>
              <w:t xml:space="preserve">, M., Gül, H. İ., </w:t>
            </w:r>
            <w:proofErr w:type="spellStart"/>
            <w:r w:rsidRPr="00F94167">
              <w:rPr>
                <w:szCs w:val="24"/>
                <w:lang w:val="tr-TR"/>
              </w:rPr>
              <w:t>Sakagami</w:t>
            </w:r>
            <w:proofErr w:type="spellEnd"/>
            <w:r w:rsidRPr="00F94167">
              <w:rPr>
                <w:szCs w:val="24"/>
                <w:lang w:val="tr-TR"/>
              </w:rPr>
              <w:t xml:space="preserve">, H., Kaya, R., &amp; Gülçin, İ. (2021). </w:t>
            </w:r>
            <w:proofErr w:type="spellStart"/>
            <w:r w:rsidRPr="00F94167">
              <w:rPr>
                <w:szCs w:val="24"/>
                <w:lang w:val="tr-TR"/>
              </w:rPr>
              <w:t>Synthesis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biological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evaluation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new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pyrazolebenzene-sulphonamides</w:t>
            </w:r>
            <w:proofErr w:type="spellEnd"/>
            <w:r w:rsidRPr="00F94167">
              <w:rPr>
                <w:szCs w:val="24"/>
                <w:lang w:val="tr-TR"/>
              </w:rPr>
              <w:t xml:space="preserve"> as </w:t>
            </w:r>
            <w:proofErr w:type="spellStart"/>
            <w:r w:rsidRPr="00F94167">
              <w:rPr>
                <w:szCs w:val="24"/>
                <w:lang w:val="tr-TR"/>
              </w:rPr>
              <w:t>potential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anticancer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agents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hCA</w:t>
            </w:r>
            <w:proofErr w:type="spellEnd"/>
            <w:r w:rsidRPr="00F94167">
              <w:rPr>
                <w:szCs w:val="24"/>
                <w:lang w:val="tr-TR"/>
              </w:rPr>
              <w:t xml:space="preserve"> I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II </w:t>
            </w:r>
            <w:proofErr w:type="spellStart"/>
            <w:r w:rsidRPr="00F94167">
              <w:rPr>
                <w:szCs w:val="24"/>
                <w:lang w:val="tr-TR"/>
              </w:rPr>
              <w:t>inhibitors</w:t>
            </w:r>
            <w:proofErr w:type="spellEnd"/>
            <w:r w:rsidRPr="00F94167">
              <w:rPr>
                <w:szCs w:val="24"/>
                <w:lang w:val="tr-TR"/>
              </w:rPr>
              <w:t xml:space="preserve">. </w:t>
            </w:r>
            <w:proofErr w:type="spellStart"/>
            <w:r w:rsidRPr="00F94167">
              <w:rPr>
                <w:szCs w:val="24"/>
                <w:lang w:val="tr-TR"/>
              </w:rPr>
              <w:t>Turkish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Journal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Chemistry</w:t>
            </w:r>
            <w:proofErr w:type="spellEnd"/>
            <w:r w:rsidRPr="00F94167">
              <w:rPr>
                <w:szCs w:val="24"/>
                <w:lang w:val="tr-TR"/>
              </w:rPr>
              <w:t>, 45(3), 528-539.</w:t>
            </w:r>
          </w:p>
        </w:tc>
        <w:tc>
          <w:tcPr>
            <w:tcW w:w="3827" w:type="dxa"/>
          </w:tcPr>
          <w:p w14:paraId="1CBF2E8B" w14:textId="77777777" w:rsidR="00474D8A" w:rsidRPr="00F94167" w:rsidRDefault="00474D8A" w:rsidP="001820CB">
            <w:pPr>
              <w:suppressAutoHyphens w:val="0"/>
              <w:spacing w:after="190"/>
              <w:rPr>
                <w:rFonts w:eastAsia="Verdana"/>
                <w:szCs w:val="24"/>
              </w:rPr>
            </w:pPr>
          </w:p>
        </w:tc>
        <w:tc>
          <w:tcPr>
            <w:tcW w:w="3563" w:type="dxa"/>
          </w:tcPr>
          <w:p w14:paraId="6D694649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7ABA5CC5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0FD87CA5" w14:textId="77777777" w:rsidTr="001820CB">
        <w:tc>
          <w:tcPr>
            <w:tcW w:w="456" w:type="dxa"/>
          </w:tcPr>
          <w:p w14:paraId="5FFA9FEA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lastRenderedPageBreak/>
              <w:t>9</w:t>
            </w:r>
          </w:p>
        </w:tc>
        <w:tc>
          <w:tcPr>
            <w:tcW w:w="4359" w:type="dxa"/>
          </w:tcPr>
          <w:p w14:paraId="2CD5C1B4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proofErr w:type="spellStart"/>
            <w:r w:rsidRPr="00F94167">
              <w:rPr>
                <w:szCs w:val="24"/>
                <w:lang w:val="tr-TR"/>
              </w:rPr>
              <w:t>Takim</w:t>
            </w:r>
            <w:proofErr w:type="spellEnd"/>
            <w:r w:rsidRPr="00F94167">
              <w:rPr>
                <w:szCs w:val="24"/>
                <w:lang w:val="tr-TR"/>
              </w:rPr>
              <w:t xml:space="preserve">, K., </w:t>
            </w:r>
            <w:proofErr w:type="spellStart"/>
            <w:r w:rsidRPr="00F94167">
              <w:rPr>
                <w:szCs w:val="24"/>
                <w:lang w:val="tr-TR"/>
              </w:rPr>
              <w:t>Yigin</w:t>
            </w:r>
            <w:proofErr w:type="spellEnd"/>
            <w:r w:rsidRPr="00F94167">
              <w:rPr>
                <w:szCs w:val="24"/>
                <w:lang w:val="tr-TR"/>
              </w:rPr>
              <w:t xml:space="preserve">, A., Koyuncu, I., Kaya, R., &amp; Gülçin, İ. (2021). </w:t>
            </w:r>
            <w:proofErr w:type="spellStart"/>
            <w:r w:rsidRPr="00F94167">
              <w:rPr>
                <w:szCs w:val="24"/>
                <w:lang w:val="tr-TR"/>
              </w:rPr>
              <w:t>Anticancer</w:t>
            </w:r>
            <w:proofErr w:type="spellEnd"/>
            <w:r w:rsidRPr="00F94167">
              <w:rPr>
                <w:szCs w:val="24"/>
                <w:lang w:val="tr-TR"/>
              </w:rPr>
              <w:t xml:space="preserve">, </w:t>
            </w:r>
            <w:proofErr w:type="spellStart"/>
            <w:r w:rsidRPr="00F94167">
              <w:rPr>
                <w:szCs w:val="24"/>
                <w:lang w:val="tr-TR"/>
              </w:rPr>
              <w:t>anticholinesterase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antidiabetic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activities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tunceli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garlic</w:t>
            </w:r>
            <w:proofErr w:type="spellEnd"/>
            <w:r w:rsidRPr="00F94167">
              <w:rPr>
                <w:szCs w:val="24"/>
                <w:lang w:val="tr-TR"/>
              </w:rPr>
              <w:t xml:space="preserve"> (</w:t>
            </w:r>
            <w:proofErr w:type="spellStart"/>
            <w:r w:rsidRPr="00F94167">
              <w:rPr>
                <w:szCs w:val="24"/>
                <w:lang w:val="tr-TR"/>
              </w:rPr>
              <w:t>Allium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tuncelianum</w:t>
            </w:r>
            <w:proofErr w:type="spellEnd"/>
            <w:proofErr w:type="gramStart"/>
            <w:r w:rsidRPr="00F94167">
              <w:rPr>
                <w:szCs w:val="24"/>
                <w:lang w:val="tr-TR"/>
              </w:rPr>
              <w:t>):</w:t>
            </w:r>
            <w:proofErr w:type="spellStart"/>
            <w:r w:rsidRPr="00F94167">
              <w:rPr>
                <w:szCs w:val="24"/>
                <w:lang w:val="tr-TR"/>
              </w:rPr>
              <w:t>determining</w:t>
            </w:r>
            <w:proofErr w:type="spellEnd"/>
            <w:proofErr w:type="gram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its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phytochemical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content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by</w:t>
            </w:r>
            <w:proofErr w:type="spellEnd"/>
            <w:r w:rsidRPr="00F94167">
              <w:rPr>
                <w:szCs w:val="24"/>
                <w:lang w:val="tr-TR"/>
              </w:rPr>
              <w:t xml:space="preserve"> LC–MS/MS </w:t>
            </w:r>
            <w:proofErr w:type="spellStart"/>
            <w:r w:rsidRPr="00F94167">
              <w:rPr>
                <w:szCs w:val="24"/>
                <w:lang w:val="tr-TR"/>
              </w:rPr>
              <w:t>analysis</w:t>
            </w:r>
            <w:proofErr w:type="spellEnd"/>
            <w:r w:rsidRPr="00F94167">
              <w:rPr>
                <w:szCs w:val="24"/>
                <w:lang w:val="tr-TR"/>
              </w:rPr>
              <w:t xml:space="preserve">. </w:t>
            </w:r>
            <w:proofErr w:type="spellStart"/>
            <w:r w:rsidRPr="00F94167">
              <w:rPr>
                <w:szCs w:val="24"/>
                <w:lang w:val="tr-TR"/>
              </w:rPr>
              <w:t>Journal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Food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Measurement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Characterization</w:t>
            </w:r>
            <w:proofErr w:type="spellEnd"/>
            <w:r w:rsidRPr="00F94167">
              <w:rPr>
                <w:szCs w:val="24"/>
                <w:lang w:val="tr-TR"/>
              </w:rPr>
              <w:t>, 1-13.</w:t>
            </w:r>
          </w:p>
        </w:tc>
        <w:tc>
          <w:tcPr>
            <w:tcW w:w="3827" w:type="dxa"/>
          </w:tcPr>
          <w:p w14:paraId="1F74ED3C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63BDDE47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06052E93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  <w:tr w:rsidR="00474D8A" w:rsidRPr="00F94167" w14:paraId="06E456E1" w14:textId="77777777" w:rsidTr="001820CB">
        <w:tc>
          <w:tcPr>
            <w:tcW w:w="456" w:type="dxa"/>
          </w:tcPr>
          <w:p w14:paraId="7F32851A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  <w:lang w:val="tr-TR" w:eastAsia="en-US"/>
              </w:rPr>
            </w:pPr>
            <w:r w:rsidRPr="00F94167">
              <w:rPr>
                <w:rFonts w:eastAsia="Calibri"/>
                <w:b/>
                <w:bCs/>
                <w:szCs w:val="24"/>
                <w:lang w:val="tr-TR" w:eastAsia="en-US"/>
              </w:rPr>
              <w:t>10</w:t>
            </w:r>
          </w:p>
        </w:tc>
        <w:tc>
          <w:tcPr>
            <w:tcW w:w="4359" w:type="dxa"/>
          </w:tcPr>
          <w:p w14:paraId="50293B5E" w14:textId="77777777" w:rsidR="00474D8A" w:rsidRPr="00F94167" w:rsidRDefault="00474D8A" w:rsidP="001820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tr-TR" w:eastAsia="en-US"/>
              </w:rPr>
            </w:pPr>
            <w:r w:rsidRPr="00F94167">
              <w:rPr>
                <w:szCs w:val="24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Yavari</w:t>
            </w:r>
            <w:proofErr w:type="spellEnd"/>
            <w:r w:rsidRPr="00F94167">
              <w:rPr>
                <w:szCs w:val="24"/>
                <w:lang w:val="tr-TR"/>
              </w:rPr>
              <w:t xml:space="preserve">, M. A., </w:t>
            </w:r>
            <w:proofErr w:type="spellStart"/>
            <w:r w:rsidRPr="00F94167">
              <w:rPr>
                <w:szCs w:val="24"/>
                <w:lang w:val="tr-TR"/>
              </w:rPr>
              <w:t>Adiloglu</w:t>
            </w:r>
            <w:proofErr w:type="spellEnd"/>
            <w:r w:rsidRPr="00F94167">
              <w:rPr>
                <w:szCs w:val="24"/>
                <w:lang w:val="tr-TR"/>
              </w:rPr>
              <w:t xml:space="preserve">, Y., </w:t>
            </w:r>
            <w:proofErr w:type="spellStart"/>
            <w:r w:rsidRPr="00F94167">
              <w:rPr>
                <w:szCs w:val="24"/>
                <w:lang w:val="tr-TR"/>
              </w:rPr>
              <w:t>Saglamtas</w:t>
            </w:r>
            <w:proofErr w:type="spellEnd"/>
            <w:r w:rsidRPr="00F94167">
              <w:rPr>
                <w:szCs w:val="24"/>
                <w:lang w:val="tr-TR"/>
              </w:rPr>
              <w:t xml:space="preserve">, R., Tutar, A., </w:t>
            </w:r>
            <w:proofErr w:type="spellStart"/>
            <w:r w:rsidRPr="00F94167">
              <w:rPr>
                <w:szCs w:val="24"/>
                <w:lang w:val="tr-TR"/>
              </w:rPr>
              <w:t>Gulcin</w:t>
            </w:r>
            <w:proofErr w:type="spellEnd"/>
            <w:r w:rsidRPr="00F94167">
              <w:rPr>
                <w:szCs w:val="24"/>
                <w:lang w:val="tr-TR"/>
              </w:rPr>
              <w:t xml:space="preserve">, I., &amp; </w:t>
            </w:r>
            <w:proofErr w:type="spellStart"/>
            <w:r w:rsidRPr="00F94167">
              <w:rPr>
                <w:szCs w:val="24"/>
                <w:lang w:val="tr-TR"/>
              </w:rPr>
              <w:t>Menzek</w:t>
            </w:r>
            <w:proofErr w:type="spellEnd"/>
            <w:r w:rsidRPr="00F94167">
              <w:rPr>
                <w:szCs w:val="24"/>
                <w:lang w:val="tr-TR"/>
              </w:rPr>
              <w:t xml:space="preserve">, A. </w:t>
            </w:r>
            <w:proofErr w:type="spellStart"/>
            <w:r w:rsidRPr="00F94167">
              <w:rPr>
                <w:szCs w:val="24"/>
                <w:lang w:val="tr-TR"/>
              </w:rPr>
              <w:t>Synthesis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some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enzyme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inhibition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effects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isoxazoline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pyrazoline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derivatives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including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benzonorbornene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unit</w:t>
            </w:r>
            <w:proofErr w:type="spellEnd"/>
            <w:r w:rsidRPr="00F94167">
              <w:rPr>
                <w:szCs w:val="24"/>
                <w:lang w:val="tr-TR"/>
              </w:rPr>
              <w:t xml:space="preserve">. </w:t>
            </w:r>
            <w:proofErr w:type="spellStart"/>
            <w:r w:rsidRPr="00F94167">
              <w:rPr>
                <w:szCs w:val="24"/>
                <w:lang w:val="tr-TR"/>
              </w:rPr>
              <w:t>Journal</w:t>
            </w:r>
            <w:proofErr w:type="spellEnd"/>
            <w:r w:rsidRPr="00F94167">
              <w:rPr>
                <w:szCs w:val="24"/>
                <w:lang w:val="tr-TR"/>
              </w:rPr>
              <w:t xml:space="preserve"> of </w:t>
            </w:r>
            <w:proofErr w:type="spellStart"/>
            <w:r w:rsidRPr="00F94167">
              <w:rPr>
                <w:szCs w:val="24"/>
                <w:lang w:val="tr-TR"/>
              </w:rPr>
              <w:t>Biochemical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and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Molecular</w:t>
            </w:r>
            <w:proofErr w:type="spellEnd"/>
            <w:r w:rsidRPr="00F94167">
              <w:rPr>
                <w:szCs w:val="24"/>
                <w:lang w:val="tr-TR"/>
              </w:rPr>
              <w:t xml:space="preserve"> </w:t>
            </w:r>
            <w:proofErr w:type="spellStart"/>
            <w:r w:rsidRPr="00F94167">
              <w:rPr>
                <w:szCs w:val="24"/>
                <w:lang w:val="tr-TR"/>
              </w:rPr>
              <w:t>Toxicology</w:t>
            </w:r>
            <w:proofErr w:type="spellEnd"/>
            <w:r w:rsidRPr="00F94167">
              <w:rPr>
                <w:szCs w:val="24"/>
                <w:lang w:val="tr-TR"/>
              </w:rPr>
              <w:t>, e22952.</w:t>
            </w:r>
          </w:p>
        </w:tc>
        <w:tc>
          <w:tcPr>
            <w:tcW w:w="3827" w:type="dxa"/>
          </w:tcPr>
          <w:p w14:paraId="58D767FA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3563" w:type="dxa"/>
          </w:tcPr>
          <w:p w14:paraId="5ABCD210" w14:textId="77777777" w:rsidR="00474D8A" w:rsidRPr="00F94167" w:rsidRDefault="00474D8A" w:rsidP="001820CB">
            <w:pPr>
              <w:rPr>
                <w:szCs w:val="24"/>
              </w:rPr>
            </w:pPr>
          </w:p>
        </w:tc>
        <w:tc>
          <w:tcPr>
            <w:tcW w:w="1789" w:type="dxa"/>
          </w:tcPr>
          <w:p w14:paraId="18D38D67" w14:textId="77777777" w:rsidR="00474D8A" w:rsidRPr="00F94167" w:rsidRDefault="00474D8A" w:rsidP="001820CB">
            <w:pPr>
              <w:rPr>
                <w:szCs w:val="24"/>
              </w:rPr>
            </w:pPr>
          </w:p>
        </w:tc>
      </w:tr>
    </w:tbl>
    <w:p w14:paraId="00E59A88" w14:textId="77777777" w:rsidR="00474D8A" w:rsidRPr="00F94167" w:rsidRDefault="00474D8A" w:rsidP="00474D8A">
      <w:pPr>
        <w:rPr>
          <w:szCs w:val="24"/>
        </w:rPr>
      </w:pPr>
    </w:p>
    <w:p w14:paraId="03660E01" w14:textId="77777777" w:rsidR="00474D8A" w:rsidRPr="00F94167" w:rsidRDefault="00474D8A" w:rsidP="00474D8A">
      <w:pPr>
        <w:rPr>
          <w:szCs w:val="24"/>
        </w:rPr>
      </w:pPr>
    </w:p>
    <w:p w14:paraId="199E374C" w14:textId="77777777" w:rsidR="007E723E" w:rsidRDefault="007E723E"/>
    <w:sectPr w:rsidR="007E723E" w:rsidSect="005451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47"/>
    <w:rsid w:val="00474D8A"/>
    <w:rsid w:val="007E723E"/>
    <w:rsid w:val="00BB7A47"/>
    <w:rsid w:val="00E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032"/>
  <w15:chartTrackingRefBased/>
  <w15:docId w15:val="{928D5C07-1D2F-4F31-A53E-317DFC29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 TABAY</dc:creator>
  <cp:keywords/>
  <dc:description/>
  <cp:lastModifiedBy>DILRUBA TABAY</cp:lastModifiedBy>
  <cp:revision>3</cp:revision>
  <dcterms:created xsi:type="dcterms:W3CDTF">2022-01-11T12:44:00Z</dcterms:created>
  <dcterms:modified xsi:type="dcterms:W3CDTF">2022-01-11T12:46:00Z</dcterms:modified>
</cp:coreProperties>
</file>